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2F63" w14:textId="77777777" w:rsidR="00EA411D" w:rsidRDefault="00EA411D">
      <w:pPr>
        <w:pBdr>
          <w:top w:val="single" w:sz="4" w:space="0" w:color="000000"/>
        </w:pBdr>
        <w:jc w:val="center"/>
        <w:rPr>
          <w:rFonts w:ascii="Tahoma" w:eastAsia="Tahoma" w:hAnsi="Tahoma" w:cs="Tahoma"/>
          <w:sz w:val="20"/>
          <w:szCs w:val="20"/>
        </w:rPr>
      </w:pPr>
    </w:p>
    <w:p w14:paraId="0E3AB120" w14:textId="77777777" w:rsidR="00EA411D" w:rsidRDefault="00000000">
      <w:pPr>
        <w:jc w:val="center"/>
        <w:rPr>
          <w:rFonts w:ascii="Tahoma Bold" w:eastAsia="Tahoma Bold" w:hAnsi="Tahoma Bold" w:cs="Tahoma Bold"/>
          <w:sz w:val="32"/>
          <w:szCs w:val="32"/>
        </w:rPr>
      </w:pPr>
      <w:r>
        <w:rPr>
          <w:rFonts w:ascii="Tahoma Bold" w:hAnsi="Tahoma Bold"/>
          <w:sz w:val="32"/>
          <w:szCs w:val="32"/>
        </w:rPr>
        <w:t>Role Outline</w:t>
      </w:r>
    </w:p>
    <w:p w14:paraId="7CA9C906" w14:textId="77777777" w:rsidR="00EA411D" w:rsidRDefault="00EA411D">
      <w:pPr>
        <w:jc w:val="center"/>
        <w:rPr>
          <w:rFonts w:ascii="Tahoma" w:eastAsia="Tahoma" w:hAnsi="Tahoma" w:cs="Tahoma"/>
          <w:sz w:val="20"/>
          <w:szCs w:val="20"/>
        </w:rPr>
      </w:pPr>
    </w:p>
    <w:p w14:paraId="1891F86C" w14:textId="77777777" w:rsidR="00EA411D" w:rsidRDefault="00000000">
      <w:pPr>
        <w:rPr>
          <w:rFonts w:ascii="Tahoma Bold" w:eastAsia="Tahoma Bold" w:hAnsi="Tahoma Bold" w:cs="Tahoma Bold"/>
          <w:sz w:val="22"/>
          <w:szCs w:val="22"/>
        </w:rPr>
      </w:pPr>
      <w:r>
        <w:rPr>
          <w:rFonts w:ascii="Tahoma Bold" w:hAnsi="Tahoma Bold"/>
          <w:sz w:val="22"/>
          <w:szCs w:val="22"/>
        </w:rPr>
        <w:t>Role Title: House Group Leader</w:t>
      </w:r>
    </w:p>
    <w:p w14:paraId="32F409D9" w14:textId="77777777" w:rsidR="00EA411D" w:rsidRDefault="00EA411D">
      <w:pPr>
        <w:rPr>
          <w:rFonts w:ascii="Tahoma" w:eastAsia="Tahoma" w:hAnsi="Tahoma" w:cs="Tahoma"/>
          <w:sz w:val="22"/>
          <w:szCs w:val="22"/>
        </w:rPr>
      </w:pPr>
    </w:p>
    <w:p w14:paraId="572A8FAA" w14:textId="77777777" w:rsidR="00EA411D" w:rsidRDefault="00000000">
      <w:pPr>
        <w:rPr>
          <w:rFonts w:ascii="Tahoma" w:eastAsia="Tahoma" w:hAnsi="Tahoma" w:cs="Tahoma"/>
          <w:sz w:val="22"/>
          <w:szCs w:val="22"/>
        </w:rPr>
      </w:pPr>
      <w:bookmarkStart w:id="0" w:name="_Hlk48042074"/>
      <w:r>
        <w:rPr>
          <w:rFonts w:ascii="Tahoma" w:hAnsi="Tahoma"/>
          <w:sz w:val="22"/>
          <w:szCs w:val="22"/>
        </w:rPr>
        <w:t>In Launceston Central Methodist Church</w:t>
      </w:r>
    </w:p>
    <w:bookmarkEnd w:id="0"/>
    <w:p w14:paraId="16D651B0" w14:textId="77777777" w:rsidR="00EA411D" w:rsidRDefault="00EA411D">
      <w:pPr>
        <w:rPr>
          <w:rFonts w:ascii="Tahoma" w:eastAsia="Tahoma" w:hAnsi="Tahoma" w:cs="Tahoma"/>
          <w:sz w:val="22"/>
          <w:szCs w:val="22"/>
        </w:rPr>
      </w:pPr>
    </w:p>
    <w:p w14:paraId="37089A1D" w14:textId="77777777" w:rsidR="00EA411D" w:rsidRDefault="00000000">
      <w:pPr>
        <w:rPr>
          <w:rFonts w:ascii="Tahoma" w:eastAsia="Tahoma" w:hAnsi="Tahoma" w:cs="Tahoma"/>
          <w:sz w:val="22"/>
          <w:szCs w:val="22"/>
        </w:rPr>
      </w:pPr>
      <w:r>
        <w:rPr>
          <w:rFonts w:ascii="Tahoma" w:hAnsi="Tahoma"/>
          <w:sz w:val="22"/>
          <w:szCs w:val="22"/>
        </w:rPr>
        <w:t>The House Group leader will coordinate meetings of his / her House Group, provide leadership and friendship to those members, and lead, or arrange for an appropriate person to lead, Bible Study, discussion and give opportunities for prayer.</w:t>
      </w:r>
    </w:p>
    <w:p w14:paraId="600D27D2" w14:textId="77777777" w:rsidR="00EA411D" w:rsidRDefault="00EA411D">
      <w:pPr>
        <w:pBdr>
          <w:bottom w:val="single" w:sz="12" w:space="0" w:color="000000"/>
        </w:pBdr>
        <w:rPr>
          <w:rFonts w:ascii="Tahoma" w:eastAsia="Tahoma" w:hAnsi="Tahoma" w:cs="Tahoma"/>
          <w:sz w:val="12"/>
          <w:szCs w:val="12"/>
        </w:rPr>
      </w:pPr>
    </w:p>
    <w:p w14:paraId="73BD8298" w14:textId="77777777" w:rsidR="00EA411D" w:rsidRDefault="00EA411D">
      <w:pPr>
        <w:tabs>
          <w:tab w:val="left" w:pos="2040"/>
        </w:tabs>
        <w:rPr>
          <w:rFonts w:ascii="Tahoma" w:eastAsia="Tahoma" w:hAnsi="Tahoma" w:cs="Tahoma"/>
          <w:sz w:val="16"/>
          <w:szCs w:val="16"/>
        </w:rPr>
      </w:pPr>
    </w:p>
    <w:p w14:paraId="48480338" w14:textId="77777777" w:rsidR="00EA411D" w:rsidRDefault="00000000">
      <w:pPr>
        <w:tabs>
          <w:tab w:val="left" w:pos="2040"/>
        </w:tabs>
        <w:rPr>
          <w:rFonts w:ascii="Tahoma" w:eastAsia="Tahoma" w:hAnsi="Tahoma" w:cs="Tahoma"/>
          <w:sz w:val="20"/>
          <w:szCs w:val="20"/>
        </w:rPr>
      </w:pPr>
      <w:r>
        <w:rPr>
          <w:rFonts w:ascii="Tahoma" w:hAnsi="Tahoma"/>
          <w:sz w:val="20"/>
          <w:szCs w:val="20"/>
        </w:rPr>
        <w:t>Part 1</w:t>
      </w:r>
    </w:p>
    <w:p w14:paraId="0DB05AE1" w14:textId="77777777" w:rsidR="00EA411D" w:rsidRDefault="00EA411D">
      <w:pPr>
        <w:tabs>
          <w:tab w:val="left" w:pos="2040"/>
        </w:tabs>
        <w:rPr>
          <w:rFonts w:ascii="Tahoma" w:eastAsia="Tahoma" w:hAnsi="Tahoma" w:cs="Tahoma"/>
          <w:sz w:val="20"/>
          <w:szCs w:val="20"/>
        </w:rPr>
      </w:pPr>
    </w:p>
    <w:p w14:paraId="419B33EB" w14:textId="77777777" w:rsidR="00EA411D" w:rsidRDefault="00000000">
      <w:pPr>
        <w:tabs>
          <w:tab w:val="left" w:pos="2040"/>
        </w:tabs>
        <w:rPr>
          <w:rFonts w:ascii="Tahoma Bold" w:eastAsia="Tahoma Bold" w:hAnsi="Tahoma Bold" w:cs="Tahoma Bold"/>
          <w:sz w:val="20"/>
          <w:szCs w:val="20"/>
        </w:rPr>
      </w:pPr>
      <w:r>
        <w:rPr>
          <w:rFonts w:ascii="Tahoma Bold" w:hAnsi="Tahoma Bold"/>
          <w:sz w:val="20"/>
          <w:szCs w:val="20"/>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7A239177" w14:textId="77777777" w:rsidR="00EA411D" w:rsidRDefault="00EA411D">
      <w:pPr>
        <w:tabs>
          <w:tab w:val="left" w:pos="2040"/>
        </w:tabs>
        <w:rPr>
          <w:rFonts w:ascii="Tahoma" w:eastAsia="Tahoma" w:hAnsi="Tahoma" w:cs="Tahoma"/>
          <w:sz w:val="20"/>
          <w:szCs w:val="20"/>
        </w:rPr>
      </w:pPr>
    </w:p>
    <w:p w14:paraId="41906CEE" w14:textId="77777777" w:rsidR="00EA411D" w:rsidRDefault="00000000">
      <w:pPr>
        <w:tabs>
          <w:tab w:val="left" w:pos="2040"/>
        </w:tabs>
        <w:rPr>
          <w:rFonts w:ascii="Tahoma" w:eastAsia="Tahoma" w:hAnsi="Tahoma" w:cs="Tahoma"/>
          <w:sz w:val="20"/>
          <w:szCs w:val="20"/>
        </w:rPr>
      </w:pPr>
      <w:r>
        <w:rPr>
          <w:rFonts w:ascii="Tahoma" w:hAnsi="Tahoma"/>
          <w:sz w:val="20"/>
          <w:szCs w:val="20"/>
        </w:rPr>
        <w:t>The following tasks will be undertaken as part of the role outlined above.</w:t>
      </w:r>
    </w:p>
    <w:p w14:paraId="5CAFB31C" w14:textId="77777777" w:rsidR="00EA411D" w:rsidRDefault="00EA411D">
      <w:pPr>
        <w:pStyle w:val="ColorfulList-Accent1"/>
        <w:spacing w:after="0" w:line="240" w:lineRule="auto"/>
        <w:ind w:left="0"/>
        <w:rPr>
          <w:rFonts w:ascii="Tahoma" w:eastAsia="Tahoma" w:hAnsi="Tahoma" w:cs="Tahoma"/>
          <w:sz w:val="20"/>
          <w:szCs w:val="20"/>
        </w:rPr>
      </w:pPr>
    </w:p>
    <w:p w14:paraId="5B773268" w14:textId="77777777" w:rsidR="00EA411D" w:rsidRDefault="00000000">
      <w:pPr>
        <w:pStyle w:val="ColorfulList-Accent1"/>
        <w:numPr>
          <w:ilvl w:val="0"/>
          <w:numId w:val="2"/>
        </w:numPr>
        <w:spacing w:after="0" w:line="240" w:lineRule="auto"/>
        <w:rPr>
          <w:rFonts w:ascii="Tahoma" w:hAnsi="Tahoma"/>
          <w:sz w:val="20"/>
          <w:szCs w:val="20"/>
        </w:rPr>
      </w:pPr>
      <w:r>
        <w:rPr>
          <w:rFonts w:ascii="Tahoma" w:hAnsi="Tahoma"/>
          <w:sz w:val="20"/>
          <w:szCs w:val="20"/>
        </w:rPr>
        <w:t xml:space="preserve">To welcome a group into their home or specified venue, </w:t>
      </w:r>
      <w:proofErr w:type="gramStart"/>
      <w:r>
        <w:rPr>
          <w:rFonts w:ascii="Tahoma" w:hAnsi="Tahoma"/>
          <w:sz w:val="20"/>
          <w:szCs w:val="20"/>
        </w:rPr>
        <w:t>in order to</w:t>
      </w:r>
      <w:proofErr w:type="gramEnd"/>
      <w:r>
        <w:rPr>
          <w:rFonts w:ascii="Tahoma" w:hAnsi="Tahoma"/>
          <w:sz w:val="20"/>
          <w:szCs w:val="20"/>
        </w:rPr>
        <w:t xml:space="preserve"> promote study of the Bible, discussion around that study, and invite open prayer.  At times it may be necessary to provide a pastoral role if specific needs are raised, and to refer those needs on to an appropriate person.</w:t>
      </w:r>
    </w:p>
    <w:p w14:paraId="06D59594" w14:textId="77777777" w:rsidR="00EA411D" w:rsidRDefault="00EA411D">
      <w:pPr>
        <w:pStyle w:val="ColorfulList-Accent1"/>
        <w:tabs>
          <w:tab w:val="left" w:pos="426"/>
        </w:tabs>
        <w:spacing w:after="0" w:line="240" w:lineRule="auto"/>
        <w:ind w:left="426" w:hanging="426"/>
        <w:rPr>
          <w:rFonts w:ascii="Tahoma" w:eastAsia="Tahoma" w:hAnsi="Tahoma" w:cs="Tahoma"/>
          <w:sz w:val="20"/>
          <w:szCs w:val="20"/>
        </w:rPr>
      </w:pPr>
    </w:p>
    <w:p w14:paraId="4AD8016B" w14:textId="77777777" w:rsidR="00EA411D" w:rsidRDefault="00000000">
      <w:pPr>
        <w:pStyle w:val="ColorfulList-Accent1"/>
        <w:numPr>
          <w:ilvl w:val="0"/>
          <w:numId w:val="2"/>
        </w:numPr>
        <w:spacing w:after="0" w:line="240" w:lineRule="auto"/>
        <w:rPr>
          <w:rFonts w:ascii="Tahoma" w:hAnsi="Tahoma"/>
          <w:sz w:val="20"/>
          <w:szCs w:val="20"/>
        </w:rPr>
      </w:pPr>
      <w:r>
        <w:rPr>
          <w:rFonts w:ascii="Tahoma" w:hAnsi="Tahoma"/>
          <w:sz w:val="20"/>
          <w:szCs w:val="20"/>
        </w:rPr>
        <w:t>To offer prayer into a situation if required.</w:t>
      </w:r>
    </w:p>
    <w:p w14:paraId="5BBB379E" w14:textId="77777777" w:rsidR="00EA411D" w:rsidRDefault="00EA411D">
      <w:pPr>
        <w:pStyle w:val="ColorfulList-Accent1"/>
        <w:tabs>
          <w:tab w:val="left" w:pos="426"/>
        </w:tabs>
        <w:spacing w:after="0" w:line="240" w:lineRule="auto"/>
        <w:ind w:left="426" w:hanging="426"/>
        <w:rPr>
          <w:rFonts w:ascii="Tahoma" w:eastAsia="Tahoma" w:hAnsi="Tahoma" w:cs="Tahoma"/>
          <w:sz w:val="20"/>
          <w:szCs w:val="20"/>
        </w:rPr>
      </w:pPr>
    </w:p>
    <w:p w14:paraId="385188C2" w14:textId="77777777" w:rsidR="00EA411D" w:rsidRDefault="00000000">
      <w:pPr>
        <w:pStyle w:val="ColorfulList-Accent1"/>
        <w:numPr>
          <w:ilvl w:val="0"/>
          <w:numId w:val="4"/>
        </w:numPr>
        <w:spacing w:after="0" w:line="240" w:lineRule="auto"/>
        <w:rPr>
          <w:rFonts w:ascii="Tahoma" w:hAnsi="Tahoma"/>
          <w:sz w:val="20"/>
          <w:szCs w:val="20"/>
        </w:rPr>
      </w:pPr>
      <w:r>
        <w:rPr>
          <w:rFonts w:ascii="Tahoma" w:hAnsi="Tahoma"/>
          <w:sz w:val="20"/>
          <w:szCs w:val="20"/>
        </w:rPr>
        <w:t>To share pastoral concerns with the Minister* and/or leader/s</w:t>
      </w:r>
    </w:p>
    <w:p w14:paraId="2AF84495" w14:textId="77777777" w:rsidR="00EA411D" w:rsidRDefault="00EA411D">
      <w:pPr>
        <w:pStyle w:val="ColorfulList-Accent1"/>
        <w:tabs>
          <w:tab w:val="left" w:pos="426"/>
        </w:tabs>
        <w:spacing w:after="0" w:line="240" w:lineRule="auto"/>
        <w:ind w:left="426" w:hanging="426"/>
        <w:rPr>
          <w:rFonts w:ascii="Tahoma" w:eastAsia="Tahoma" w:hAnsi="Tahoma" w:cs="Tahoma"/>
          <w:sz w:val="20"/>
          <w:szCs w:val="20"/>
        </w:rPr>
      </w:pPr>
    </w:p>
    <w:p w14:paraId="116BD442" w14:textId="77777777" w:rsidR="00EA411D" w:rsidRDefault="00000000">
      <w:pPr>
        <w:pStyle w:val="ColorfulList-Accent1"/>
        <w:numPr>
          <w:ilvl w:val="0"/>
          <w:numId w:val="4"/>
        </w:numPr>
        <w:spacing w:after="0" w:line="240" w:lineRule="auto"/>
        <w:rPr>
          <w:rFonts w:ascii="Tahoma" w:hAnsi="Tahoma"/>
          <w:sz w:val="20"/>
          <w:szCs w:val="20"/>
        </w:rPr>
      </w:pPr>
      <w:r>
        <w:rPr>
          <w:rFonts w:ascii="Tahoma" w:hAnsi="Tahoma"/>
          <w:sz w:val="20"/>
          <w:szCs w:val="20"/>
        </w:rPr>
        <w:t>To notify safeguarding issues to the Safeguarding Officer or Minister*.</w:t>
      </w:r>
    </w:p>
    <w:p w14:paraId="70BAB06E" w14:textId="77777777" w:rsidR="00EA411D" w:rsidRDefault="00EA411D">
      <w:pPr>
        <w:pStyle w:val="ColorfulList-Accent1"/>
        <w:spacing w:after="0" w:line="240" w:lineRule="auto"/>
        <w:ind w:left="0"/>
        <w:rPr>
          <w:rFonts w:ascii="Tahoma" w:eastAsia="Tahoma" w:hAnsi="Tahoma" w:cs="Tahoma"/>
          <w:sz w:val="20"/>
          <w:szCs w:val="20"/>
        </w:rPr>
      </w:pPr>
    </w:p>
    <w:p w14:paraId="450F5E9A" w14:textId="77777777" w:rsidR="00EA411D" w:rsidRDefault="00000000">
      <w:pPr>
        <w:rPr>
          <w:rFonts w:ascii="Tahoma" w:eastAsia="Tahoma" w:hAnsi="Tahoma" w:cs="Tahoma"/>
          <w:sz w:val="20"/>
          <w:szCs w:val="20"/>
        </w:rPr>
      </w:pPr>
      <w:r>
        <w:rPr>
          <w:rFonts w:ascii="Tahoma" w:hAnsi="Tahoma"/>
          <w:sz w:val="20"/>
          <w:szCs w:val="20"/>
        </w:rPr>
        <w:t>Part 2.</w:t>
      </w:r>
    </w:p>
    <w:p w14:paraId="79AD107C" w14:textId="77777777" w:rsidR="00EA411D" w:rsidRDefault="00EA411D">
      <w:pPr>
        <w:jc w:val="both"/>
        <w:rPr>
          <w:rFonts w:ascii="Tahoma" w:eastAsia="Tahoma" w:hAnsi="Tahoma" w:cs="Tahoma"/>
          <w:sz w:val="20"/>
          <w:szCs w:val="20"/>
        </w:rPr>
      </w:pPr>
    </w:p>
    <w:p w14:paraId="7F5E5D61" w14:textId="77777777" w:rsidR="00EA411D" w:rsidRDefault="00000000">
      <w:pPr>
        <w:jc w:val="both"/>
        <w:rPr>
          <w:rFonts w:ascii="Tahoma" w:eastAsia="Tahoma" w:hAnsi="Tahoma" w:cs="Tahoma"/>
          <w:sz w:val="20"/>
          <w:szCs w:val="20"/>
        </w:rPr>
      </w:pPr>
      <w:r>
        <w:rPr>
          <w:rFonts w:ascii="Tahoma" w:hAnsi="Tahoma"/>
          <w:sz w:val="20"/>
          <w:szCs w:val="20"/>
        </w:rPr>
        <w:t>This role will be accountable to the Minister*</w:t>
      </w:r>
    </w:p>
    <w:p w14:paraId="623147A6" w14:textId="77777777" w:rsidR="00EA411D" w:rsidRDefault="00EA411D">
      <w:pPr>
        <w:jc w:val="both"/>
        <w:rPr>
          <w:rFonts w:ascii="Tahoma" w:eastAsia="Tahoma" w:hAnsi="Tahoma" w:cs="Tahoma"/>
          <w:sz w:val="20"/>
          <w:szCs w:val="20"/>
        </w:rPr>
      </w:pPr>
    </w:p>
    <w:p w14:paraId="17969D6C" w14:textId="77777777" w:rsidR="00EA411D" w:rsidRDefault="00000000">
      <w:pPr>
        <w:rPr>
          <w:rFonts w:ascii="Tahoma" w:eastAsia="Tahoma" w:hAnsi="Tahoma" w:cs="Tahoma"/>
          <w:sz w:val="20"/>
          <w:szCs w:val="20"/>
        </w:rPr>
      </w:pPr>
      <w:r>
        <w:rPr>
          <w:rFonts w:ascii="Tahoma" w:hAnsi="Tahoma"/>
          <w:sz w:val="20"/>
          <w:szCs w:val="20"/>
        </w:rPr>
        <w:t xml:space="preserve">This role requires an enhanced DBS check. </w:t>
      </w:r>
    </w:p>
    <w:p w14:paraId="08220437" w14:textId="77777777" w:rsidR="00EA411D" w:rsidRDefault="00EA411D">
      <w:pPr>
        <w:rPr>
          <w:rFonts w:ascii="Tahoma" w:eastAsia="Tahoma" w:hAnsi="Tahoma" w:cs="Tahoma"/>
          <w:sz w:val="20"/>
          <w:szCs w:val="20"/>
        </w:rPr>
      </w:pPr>
    </w:p>
    <w:p w14:paraId="1C086C81" w14:textId="77777777" w:rsidR="00EA411D" w:rsidRDefault="00000000">
      <w:pPr>
        <w:jc w:val="both"/>
        <w:rPr>
          <w:rFonts w:ascii="Tahoma" w:eastAsia="Tahoma" w:hAnsi="Tahoma" w:cs="Tahoma"/>
          <w:sz w:val="20"/>
          <w:szCs w:val="20"/>
        </w:rPr>
      </w:pPr>
      <w:r>
        <w:rPr>
          <w:rFonts w:ascii="Tahoma" w:hAnsi="Tahoma"/>
          <w:sz w:val="20"/>
          <w:szCs w:val="20"/>
        </w:rPr>
        <w:t xml:space="preserve">*Minister means Presbyter, Deacon, Probationer or whoever has pastoral care of the church.  </w:t>
      </w:r>
    </w:p>
    <w:p w14:paraId="0A373F06" w14:textId="77777777" w:rsidR="00EA411D" w:rsidRDefault="00EA411D">
      <w:pPr>
        <w:jc w:val="both"/>
        <w:rPr>
          <w:rFonts w:ascii="Tahoma" w:eastAsia="Tahoma" w:hAnsi="Tahoma" w:cs="Tahoma"/>
          <w:sz w:val="20"/>
          <w:szCs w:val="20"/>
        </w:rPr>
      </w:pPr>
    </w:p>
    <w:p w14:paraId="04797877" w14:textId="77777777" w:rsidR="00EA411D" w:rsidRDefault="00EA411D">
      <w:pPr>
        <w:jc w:val="both"/>
        <w:rPr>
          <w:rFonts w:ascii="Tahoma" w:eastAsia="Tahoma" w:hAnsi="Tahoma" w:cs="Tahoma"/>
          <w:sz w:val="20"/>
          <w:szCs w:val="20"/>
        </w:rPr>
      </w:pPr>
    </w:p>
    <w:p w14:paraId="430F11F2" w14:textId="77777777" w:rsidR="00EA411D" w:rsidRDefault="00EA411D">
      <w:pPr>
        <w:jc w:val="both"/>
        <w:rPr>
          <w:rFonts w:ascii="Tahoma" w:eastAsia="Tahoma" w:hAnsi="Tahoma" w:cs="Tahoma"/>
          <w:sz w:val="20"/>
          <w:szCs w:val="20"/>
        </w:rPr>
      </w:pPr>
    </w:p>
    <w:p w14:paraId="34304AE7" w14:textId="77777777" w:rsidR="00EA411D" w:rsidRDefault="00000000">
      <w:pPr>
        <w:jc w:val="both"/>
        <w:rPr>
          <w:rFonts w:ascii="Tahoma" w:eastAsia="Tahoma" w:hAnsi="Tahoma" w:cs="Tahoma"/>
          <w:sz w:val="20"/>
          <w:szCs w:val="20"/>
        </w:rPr>
      </w:pPr>
      <w:r>
        <w:rPr>
          <w:rFonts w:ascii="Tahoma" w:hAnsi="Tahoma"/>
          <w:sz w:val="20"/>
          <w:szCs w:val="20"/>
        </w:rPr>
        <w:t>Signed by (role holder) …………………………………</w:t>
      </w:r>
      <w:proofErr w:type="gramStart"/>
      <w:r>
        <w:rPr>
          <w:rFonts w:ascii="Tahoma" w:hAnsi="Tahoma"/>
          <w:sz w:val="20"/>
          <w:szCs w:val="20"/>
        </w:rPr>
        <w:t>…(</w:t>
      </w:r>
      <w:proofErr w:type="gramEnd"/>
      <w:r>
        <w:rPr>
          <w:rFonts w:ascii="Tahoma" w:hAnsi="Tahoma"/>
          <w:sz w:val="20"/>
          <w:szCs w:val="20"/>
        </w:rPr>
        <w:t>print name)…………………………………..Date……………….</w:t>
      </w:r>
    </w:p>
    <w:p w14:paraId="3BB65F87" w14:textId="77777777" w:rsidR="00EA411D" w:rsidRDefault="00EA411D">
      <w:pPr>
        <w:jc w:val="both"/>
        <w:rPr>
          <w:rFonts w:ascii="Tahoma" w:eastAsia="Tahoma" w:hAnsi="Tahoma" w:cs="Tahoma"/>
          <w:sz w:val="20"/>
          <w:szCs w:val="20"/>
        </w:rPr>
      </w:pPr>
    </w:p>
    <w:p w14:paraId="5E7B8F30" w14:textId="77777777" w:rsidR="00EA411D" w:rsidRDefault="00EA411D">
      <w:pPr>
        <w:jc w:val="both"/>
        <w:rPr>
          <w:rFonts w:ascii="Tahoma" w:eastAsia="Tahoma" w:hAnsi="Tahoma" w:cs="Tahoma"/>
          <w:sz w:val="20"/>
          <w:szCs w:val="20"/>
        </w:rPr>
      </w:pPr>
    </w:p>
    <w:p w14:paraId="453119C6" w14:textId="77777777" w:rsidR="00EA411D" w:rsidRDefault="00000000">
      <w:pPr>
        <w:jc w:val="both"/>
      </w:pPr>
      <w:r>
        <w:rPr>
          <w:rFonts w:ascii="Tahoma" w:hAnsi="Tahoma"/>
          <w:sz w:val="20"/>
          <w:szCs w:val="20"/>
        </w:rPr>
        <w:t>Witnessed by ……</w:t>
      </w:r>
      <w:proofErr w:type="gramStart"/>
      <w:r>
        <w:rPr>
          <w:rFonts w:ascii="Tahoma" w:hAnsi="Tahoma"/>
          <w:sz w:val="20"/>
          <w:szCs w:val="20"/>
        </w:rPr>
        <w:t>…..</w:t>
      </w:r>
      <w:proofErr w:type="gramEnd"/>
      <w:r>
        <w:rPr>
          <w:rFonts w:ascii="Tahoma" w:hAnsi="Tahoma"/>
          <w:sz w:val="20"/>
          <w:szCs w:val="20"/>
        </w:rPr>
        <w:t>……………………………………….(print name)…………………………………..Date ……………..</w:t>
      </w:r>
    </w:p>
    <w:sectPr w:rsidR="00EA411D" w:rsidSect="00776392">
      <w:headerReference w:type="default" r:id="rId7"/>
      <w:footerReference w:type="default" r:id="rId8"/>
      <w:pgSz w:w="11900" w:h="16840"/>
      <w:pgMar w:top="1134" w:right="1134" w:bottom="1134" w:left="1134" w:header="0"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268A" w14:textId="77777777" w:rsidR="00971E96" w:rsidRDefault="00971E96">
      <w:r>
        <w:separator/>
      </w:r>
    </w:p>
  </w:endnote>
  <w:endnote w:type="continuationSeparator" w:id="0">
    <w:p w14:paraId="6AFAE4F4" w14:textId="77777777" w:rsidR="00971E96" w:rsidRDefault="0097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altName w:val="Tahom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C0BB" w14:textId="77777777" w:rsidR="00EA411D" w:rsidRDefault="00000000">
    <w:pPr>
      <w:pStyle w:val="Footer"/>
      <w:jc w:val="center"/>
    </w:pPr>
    <w:r>
      <w:rPr>
        <w:sz w:val="16"/>
        <w:szCs w:val="16"/>
      </w:rPr>
      <w:fldChar w:fldCharType="begin"/>
    </w:r>
    <w:r>
      <w:rPr>
        <w:sz w:val="16"/>
        <w:szCs w:val="16"/>
      </w:rPr>
      <w:instrText xml:space="preserve"> PAGE </w:instrText>
    </w:r>
    <w:r>
      <w:rPr>
        <w:sz w:val="16"/>
        <w:szCs w:val="16"/>
      </w:rPr>
      <w:fldChar w:fldCharType="separate"/>
    </w:r>
    <w:r w:rsidR="0077639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3DC6" w14:textId="77777777" w:rsidR="00971E96" w:rsidRDefault="00971E96">
      <w:r>
        <w:separator/>
      </w:r>
    </w:p>
  </w:footnote>
  <w:footnote w:type="continuationSeparator" w:id="0">
    <w:p w14:paraId="733ABBD9" w14:textId="77777777" w:rsidR="00971E96" w:rsidRDefault="0097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0FCB" w14:textId="1A4BD864" w:rsidR="00EA411D" w:rsidRDefault="00000000" w:rsidP="00776392">
    <w:pPr>
      <w:pStyle w:val="Header"/>
      <w:jc w:val="center"/>
    </w:pPr>
    <w:r>
      <w:rPr>
        <w:noProof/>
      </w:rPr>
      <mc:AlternateContent>
        <mc:Choice Requires="wps">
          <w:drawing>
            <wp:anchor distT="152400" distB="152400" distL="152400" distR="152400" simplePos="0" relativeHeight="251659264" behindDoc="1" locked="0" layoutInCell="1" allowOverlap="1" wp14:anchorId="729E9936" wp14:editId="6514AC26">
              <wp:simplePos x="0" y="0"/>
              <wp:positionH relativeFrom="page">
                <wp:posOffset>847090</wp:posOffset>
              </wp:positionH>
              <wp:positionV relativeFrom="page">
                <wp:posOffset>334010</wp:posOffset>
              </wp:positionV>
              <wp:extent cx="1363345" cy="939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363345" cy="939800"/>
                      </a:xfrm>
                      <a:prstGeom prst="rect">
                        <a:avLst/>
                      </a:prstGeom>
                      <a:noFill/>
                      <a:ln w="12700" cap="flat">
                        <a:noFill/>
                        <a:miter lim="400000"/>
                      </a:ln>
                      <a:effectLst/>
                    </wps:spPr>
                    <wps:bodyPr/>
                  </wps:wsp>
                </a:graphicData>
              </a:graphic>
            </wp:anchor>
          </w:drawing>
        </mc:Choice>
        <mc:Fallback>
          <w:pict>
            <v:rect w14:anchorId="63D51684" id="officeArt object" o:spid="_x0000_s1026" style="position:absolute;margin-left:66.7pt;margin-top:26.3pt;width:107.35pt;height:74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" filled="f" stroked="f" strokeweight="1pt">
              <v:stroke miterlimit="4"/>
              <w10:wrap anchorx="page" anchory="page"/>
            </v:rect>
          </w:pict>
        </mc:Fallback>
      </mc:AlternateContent>
    </w:r>
    <w:r w:rsidR="00776392">
      <w:rPr>
        <w:noProof/>
      </w:rPr>
      <w:drawing>
        <wp:inline distT="0" distB="0" distL="0" distR="0" wp14:anchorId="599CBB4B" wp14:editId="358D4EC6">
          <wp:extent cx="3598956" cy="1280111"/>
          <wp:effectExtent l="0" t="0" r="0" b="3175"/>
          <wp:docPr id="2060650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650190" name="Picture 2060650190"/>
                  <pic:cNvPicPr/>
                </pic:nvPicPr>
                <pic:blipFill rotWithShape="1">
                  <a:blip r:embed="rId1">
                    <a:extLst>
                      <a:ext uri="{28A0092B-C50C-407E-A947-70E740481C1C}">
                        <a14:useLocalDpi xmlns:a14="http://schemas.microsoft.com/office/drawing/2010/main" val="0"/>
                      </a:ext>
                    </a:extLst>
                  </a:blip>
                  <a:srcRect t="18019"/>
                  <a:stretch/>
                </pic:blipFill>
                <pic:spPr bwMode="auto">
                  <a:xfrm>
                    <a:off x="0" y="0"/>
                    <a:ext cx="3600000" cy="12804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09D4"/>
    <w:multiLevelType w:val="hybridMultilevel"/>
    <w:tmpl w:val="78745ED6"/>
    <w:styleLink w:val="ImportedStyle2"/>
    <w:lvl w:ilvl="0" w:tplc="C52CCD5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4C77C8">
      <w:start w:val="1"/>
      <w:numFmt w:val="bullet"/>
      <w:lvlText w:val="o"/>
      <w:lvlJc w:val="left"/>
      <w:pPr>
        <w:tabs>
          <w:tab w:val="left" w:pos="426"/>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4B2C8">
      <w:start w:val="1"/>
      <w:numFmt w:val="bullet"/>
      <w:lvlText w:val="▪"/>
      <w:lvlJc w:val="left"/>
      <w:pPr>
        <w:tabs>
          <w:tab w:val="left" w:pos="426"/>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AE3B46">
      <w:start w:val="1"/>
      <w:numFmt w:val="bullet"/>
      <w:lvlText w:val="·"/>
      <w:lvlJc w:val="left"/>
      <w:pPr>
        <w:tabs>
          <w:tab w:val="left" w:pos="426"/>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B82B44">
      <w:start w:val="1"/>
      <w:numFmt w:val="bullet"/>
      <w:lvlText w:val="o"/>
      <w:lvlJc w:val="left"/>
      <w:pPr>
        <w:tabs>
          <w:tab w:val="left" w:pos="426"/>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B8FF92">
      <w:start w:val="1"/>
      <w:numFmt w:val="bullet"/>
      <w:lvlText w:val="▪"/>
      <w:lvlJc w:val="left"/>
      <w:pPr>
        <w:tabs>
          <w:tab w:val="left" w:pos="426"/>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B804BE">
      <w:start w:val="1"/>
      <w:numFmt w:val="bullet"/>
      <w:lvlText w:val="·"/>
      <w:lvlJc w:val="left"/>
      <w:pPr>
        <w:tabs>
          <w:tab w:val="left" w:pos="426"/>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E65004">
      <w:start w:val="1"/>
      <w:numFmt w:val="bullet"/>
      <w:lvlText w:val="o"/>
      <w:lvlJc w:val="left"/>
      <w:pPr>
        <w:tabs>
          <w:tab w:val="left" w:pos="426"/>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68EC4">
      <w:start w:val="1"/>
      <w:numFmt w:val="bullet"/>
      <w:lvlText w:val="▪"/>
      <w:lvlJc w:val="left"/>
      <w:pPr>
        <w:tabs>
          <w:tab w:val="left" w:pos="426"/>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4A5DFE"/>
    <w:multiLevelType w:val="hybridMultilevel"/>
    <w:tmpl w:val="78745ED6"/>
    <w:numStyleLink w:val="ImportedStyle2"/>
  </w:abstractNum>
  <w:abstractNum w:abstractNumId="2" w15:restartNumberingAfterBreak="0">
    <w:nsid w:val="1D724ABB"/>
    <w:multiLevelType w:val="hybridMultilevel"/>
    <w:tmpl w:val="C7FEF18A"/>
    <w:numStyleLink w:val="ImportedStyle1"/>
  </w:abstractNum>
  <w:abstractNum w:abstractNumId="3" w15:restartNumberingAfterBreak="0">
    <w:nsid w:val="7FE66B23"/>
    <w:multiLevelType w:val="hybridMultilevel"/>
    <w:tmpl w:val="C7FEF18A"/>
    <w:styleLink w:val="ImportedStyle1"/>
    <w:lvl w:ilvl="0" w:tplc="D98A0530">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54C690">
      <w:start w:val="1"/>
      <w:numFmt w:val="bullet"/>
      <w:lvlText w:val="o"/>
      <w:lvlJc w:val="left"/>
      <w:pPr>
        <w:tabs>
          <w:tab w:val="left" w:pos="426"/>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222A38">
      <w:start w:val="1"/>
      <w:numFmt w:val="bullet"/>
      <w:lvlText w:val="▪"/>
      <w:lvlJc w:val="left"/>
      <w:pPr>
        <w:tabs>
          <w:tab w:val="left" w:pos="426"/>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B84AD4">
      <w:start w:val="1"/>
      <w:numFmt w:val="bullet"/>
      <w:lvlText w:val="·"/>
      <w:lvlJc w:val="left"/>
      <w:pPr>
        <w:tabs>
          <w:tab w:val="left" w:pos="426"/>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86615C">
      <w:start w:val="1"/>
      <w:numFmt w:val="bullet"/>
      <w:lvlText w:val="o"/>
      <w:lvlJc w:val="left"/>
      <w:pPr>
        <w:tabs>
          <w:tab w:val="left" w:pos="426"/>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3802C8">
      <w:start w:val="1"/>
      <w:numFmt w:val="bullet"/>
      <w:lvlText w:val="▪"/>
      <w:lvlJc w:val="left"/>
      <w:pPr>
        <w:tabs>
          <w:tab w:val="left" w:pos="426"/>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289A7E">
      <w:start w:val="1"/>
      <w:numFmt w:val="bullet"/>
      <w:lvlText w:val="·"/>
      <w:lvlJc w:val="left"/>
      <w:pPr>
        <w:tabs>
          <w:tab w:val="left" w:pos="426"/>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E6A5DA">
      <w:start w:val="1"/>
      <w:numFmt w:val="bullet"/>
      <w:lvlText w:val="o"/>
      <w:lvlJc w:val="left"/>
      <w:pPr>
        <w:tabs>
          <w:tab w:val="left" w:pos="426"/>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A40B8C">
      <w:start w:val="1"/>
      <w:numFmt w:val="bullet"/>
      <w:lvlText w:val="▪"/>
      <w:lvlJc w:val="left"/>
      <w:pPr>
        <w:tabs>
          <w:tab w:val="left" w:pos="426"/>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77554980">
    <w:abstractNumId w:val="3"/>
  </w:num>
  <w:num w:numId="2" w16cid:durableId="2029333006">
    <w:abstractNumId w:val="2"/>
  </w:num>
  <w:num w:numId="3" w16cid:durableId="1268974078">
    <w:abstractNumId w:val="0"/>
  </w:num>
  <w:num w:numId="4" w16cid:durableId="462888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1D"/>
    <w:rsid w:val="00776392"/>
    <w:rsid w:val="00971E96"/>
    <w:rsid w:val="00EA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99A9F1"/>
  <w15:docId w15:val="{7D190BE7-0E68-4A49-B80C-44A1E218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color w:val="000000"/>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Bookman Old Style" w:hAnsi="Bookman Old Style" w:cs="Arial Unicode MS"/>
      <w:color w:val="000000"/>
      <w:sz w:val="28"/>
      <w:szCs w:val="28"/>
      <w:u w:color="000000"/>
      <w:lang w:val="en-US"/>
    </w:rPr>
  </w:style>
  <w:style w:type="paragraph" w:styleId="Footer">
    <w:name w:val="footer"/>
    <w:pPr>
      <w:tabs>
        <w:tab w:val="center" w:pos="4513"/>
        <w:tab w:val="right" w:pos="9026"/>
      </w:tabs>
    </w:pPr>
    <w:rPr>
      <w:rFonts w:ascii="Bookman Old Style" w:eastAsia="Bookman Old Style" w:hAnsi="Bookman Old Style" w:cs="Bookman Old Style"/>
      <w:color w:val="000000"/>
      <w:sz w:val="28"/>
      <w:szCs w:val="28"/>
      <w:u w:color="000000"/>
      <w:lang w:val="en-US"/>
    </w:rPr>
  </w:style>
  <w:style w:type="paragraph" w:customStyle="1" w:styleId="ColorfulList-Accent1">
    <w:name w:val="Colorful List - Accent 1"/>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Jenkin</cp:lastModifiedBy>
  <cp:revision>2</cp:revision>
  <dcterms:created xsi:type="dcterms:W3CDTF">2024-01-11T14:31:00Z</dcterms:created>
  <dcterms:modified xsi:type="dcterms:W3CDTF">2024-01-11T14:31:00Z</dcterms:modified>
</cp:coreProperties>
</file>